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90" w:rsidRDefault="003D3D90" w:rsidP="0069512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n-GB"/>
        </w:rPr>
        <w:drawing>
          <wp:inline distT="0" distB="0" distL="0" distR="0">
            <wp:extent cx="1011936" cy="10119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r25mm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D90" w:rsidRDefault="003D3D90" w:rsidP="0069512B">
      <w:pPr>
        <w:jc w:val="center"/>
        <w:rPr>
          <w:rFonts w:ascii="Arial" w:hAnsi="Arial" w:cs="Arial"/>
          <w:b/>
          <w:color w:val="000000" w:themeColor="text1"/>
        </w:rPr>
      </w:pPr>
    </w:p>
    <w:p w:rsidR="0069512B" w:rsidRPr="003D3D90" w:rsidRDefault="0069512B" w:rsidP="0069512B">
      <w:pPr>
        <w:jc w:val="center"/>
        <w:rPr>
          <w:rFonts w:ascii="Arial" w:hAnsi="Arial" w:cs="Arial"/>
          <w:b/>
          <w:color w:val="000000" w:themeColor="text1"/>
        </w:rPr>
      </w:pPr>
      <w:r w:rsidRPr="003D3D90">
        <w:rPr>
          <w:rFonts w:ascii="Arial" w:hAnsi="Arial" w:cs="Arial"/>
          <w:b/>
          <w:color w:val="000000" w:themeColor="text1"/>
        </w:rPr>
        <w:t>Visit</w:t>
      </w:r>
      <w:r w:rsidR="00E23340" w:rsidRPr="003D3D90">
        <w:rPr>
          <w:rFonts w:ascii="Arial" w:hAnsi="Arial" w:cs="Arial"/>
          <w:b/>
          <w:color w:val="000000" w:themeColor="text1"/>
        </w:rPr>
        <w:t xml:space="preserve"> </w:t>
      </w:r>
      <w:r w:rsidR="003D3D90" w:rsidRPr="003D3D90">
        <w:rPr>
          <w:rFonts w:ascii="Arial" w:hAnsi="Arial" w:cs="Arial"/>
          <w:b/>
          <w:color w:val="000000" w:themeColor="text1"/>
        </w:rPr>
        <w:t>of</w:t>
      </w:r>
    </w:p>
    <w:p w:rsidR="0069512B" w:rsidRPr="0069512B" w:rsidRDefault="0069512B" w:rsidP="0069512B">
      <w:pPr>
        <w:jc w:val="center"/>
        <w:rPr>
          <w:rFonts w:ascii="Arial" w:hAnsi="Arial" w:cs="Arial"/>
          <w:b/>
          <w:color w:val="000000" w:themeColor="text1"/>
        </w:rPr>
      </w:pPr>
    </w:p>
    <w:p w:rsidR="0069512B" w:rsidRDefault="00A705F9" w:rsidP="0069512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Kent Ambassadors</w:t>
      </w:r>
    </w:p>
    <w:p w:rsidR="003D3D90" w:rsidRDefault="003D3D90" w:rsidP="003D3D90">
      <w:pPr>
        <w:rPr>
          <w:rFonts w:ascii="Arial" w:hAnsi="Arial" w:cs="Arial"/>
          <w:b/>
          <w:color w:val="000000" w:themeColor="text1"/>
        </w:rPr>
      </w:pPr>
    </w:p>
    <w:p w:rsidR="00A705F9" w:rsidRDefault="003D3D90" w:rsidP="0069512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Thursday </w:t>
      </w:r>
      <w:r w:rsidR="00A705F9">
        <w:rPr>
          <w:rFonts w:ascii="Arial" w:hAnsi="Arial" w:cs="Arial"/>
          <w:b/>
          <w:color w:val="000000" w:themeColor="text1"/>
        </w:rPr>
        <w:t>23 April 2015</w:t>
      </w:r>
    </w:p>
    <w:p w:rsidR="003D3D90" w:rsidRDefault="003D3D90" w:rsidP="0069512B">
      <w:pPr>
        <w:jc w:val="center"/>
        <w:rPr>
          <w:rFonts w:ascii="Arial" w:hAnsi="Arial" w:cs="Arial"/>
          <w:b/>
          <w:color w:val="000000" w:themeColor="text1"/>
        </w:rPr>
      </w:pPr>
    </w:p>
    <w:p w:rsidR="003D3D90" w:rsidRDefault="003D3D90" w:rsidP="0069512B">
      <w:pPr>
        <w:jc w:val="center"/>
        <w:rPr>
          <w:rFonts w:ascii="Arial" w:hAnsi="Arial" w:cs="Arial"/>
          <w:b/>
          <w:color w:val="000000" w:themeColor="text1"/>
        </w:rPr>
      </w:pPr>
    </w:p>
    <w:p w:rsidR="003D3D90" w:rsidRDefault="003D3D90" w:rsidP="0069512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PROGRAMME</w:t>
      </w:r>
    </w:p>
    <w:p w:rsidR="00AD0BD2" w:rsidRDefault="00AD0BD2"/>
    <w:p w:rsidR="0069512B" w:rsidRDefault="0069512B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160"/>
        <w:gridCol w:w="2977"/>
      </w:tblGrid>
      <w:tr w:rsidR="003D3D90" w:rsidTr="003D3D90">
        <w:tc>
          <w:tcPr>
            <w:tcW w:w="1185" w:type="dxa"/>
          </w:tcPr>
          <w:p w:rsidR="003D3D90" w:rsidRPr="0069512B" w:rsidRDefault="003D3D90" w:rsidP="003D3D90">
            <w:pPr>
              <w:spacing w:after="48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10.00am</w:t>
            </w:r>
          </w:p>
        </w:tc>
        <w:tc>
          <w:tcPr>
            <w:tcW w:w="5160" w:type="dxa"/>
          </w:tcPr>
          <w:p w:rsidR="003D3D90" w:rsidRPr="0069512B" w:rsidRDefault="003D3D90" w:rsidP="003D3D90">
            <w:pPr>
              <w:spacing w:after="48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Arrive and Coffee</w:t>
            </w:r>
          </w:p>
        </w:tc>
        <w:tc>
          <w:tcPr>
            <w:tcW w:w="2977" w:type="dxa"/>
          </w:tcPr>
          <w:p w:rsidR="003D3D90" w:rsidRPr="0069512B" w:rsidRDefault="003D3D90" w:rsidP="003D3D90">
            <w:pPr>
              <w:spacing w:after="48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D3D90" w:rsidTr="003D3D90">
        <w:tc>
          <w:tcPr>
            <w:tcW w:w="1185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10.30</w:t>
            </w:r>
          </w:p>
        </w:tc>
        <w:tc>
          <w:tcPr>
            <w:tcW w:w="5160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Introduction to EMR</w:t>
            </w:r>
          </w:p>
        </w:tc>
        <w:tc>
          <w:tcPr>
            <w:tcW w:w="2977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Ross Newham</w:t>
            </w:r>
          </w:p>
        </w:tc>
      </w:tr>
      <w:tr w:rsidR="003D3D90" w:rsidTr="003D3D90">
        <w:tc>
          <w:tcPr>
            <w:tcW w:w="1185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</w:p>
        </w:tc>
        <w:tc>
          <w:tcPr>
            <w:tcW w:w="5160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Carbon cycling and rootstock research</w:t>
            </w:r>
            <w:r w:rsidR="00927F29">
              <w:rPr>
                <w:rFonts w:ascii="Arial" w:hAnsi="Arial" w:cs="Arial"/>
                <w:sz w:val="22"/>
              </w:rPr>
              <w:t xml:space="preserve"> including a visit to the National </w:t>
            </w:r>
            <w:proofErr w:type="spellStart"/>
            <w:r w:rsidR="00927F29">
              <w:rPr>
                <w:rFonts w:ascii="Arial" w:hAnsi="Arial" w:cs="Arial"/>
                <w:sz w:val="22"/>
              </w:rPr>
              <w:t>Rhizolab</w:t>
            </w:r>
            <w:proofErr w:type="spellEnd"/>
            <w:r w:rsidR="00927F29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977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Dr Nicola Harrison </w:t>
            </w:r>
          </w:p>
        </w:tc>
      </w:tr>
      <w:tr w:rsidR="003D3D90" w:rsidTr="003D3D90">
        <w:tc>
          <w:tcPr>
            <w:tcW w:w="1185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</w:p>
        </w:tc>
        <w:tc>
          <w:tcPr>
            <w:tcW w:w="5160" w:type="dxa"/>
          </w:tcPr>
          <w:p w:rsidR="003D3D90" w:rsidRDefault="003D3D90" w:rsidP="00927F29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Insect </w:t>
            </w:r>
            <w:r w:rsidR="00927F29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ex </w:t>
            </w:r>
            <w:r w:rsidR="00927F29">
              <w:rPr>
                <w:rFonts w:ascii="Arial" w:hAnsi="Arial"/>
                <w:sz w:val="22"/>
              </w:rPr>
              <w:t>pheromones and their application</w:t>
            </w:r>
          </w:p>
        </w:tc>
        <w:tc>
          <w:tcPr>
            <w:tcW w:w="2977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Dr Michelle Fountain </w:t>
            </w:r>
          </w:p>
        </w:tc>
      </w:tr>
      <w:tr w:rsidR="003D3D90" w:rsidTr="003D3D90">
        <w:tc>
          <w:tcPr>
            <w:tcW w:w="1185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</w:p>
        </w:tc>
        <w:tc>
          <w:tcPr>
            <w:tcW w:w="5160" w:type="dxa"/>
          </w:tcPr>
          <w:p w:rsidR="003D3D90" w:rsidRDefault="003D3D90" w:rsidP="00927F29">
            <w:pPr>
              <w:spacing w:after="4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Strawberry </w:t>
            </w:r>
            <w:r w:rsidR="00927F29">
              <w:rPr>
                <w:rFonts w:ascii="Arial" w:hAnsi="Arial"/>
                <w:sz w:val="22"/>
              </w:rPr>
              <w:t>b</w:t>
            </w:r>
            <w:r>
              <w:rPr>
                <w:rFonts w:ascii="Arial" w:hAnsi="Arial"/>
                <w:sz w:val="22"/>
              </w:rPr>
              <w:t xml:space="preserve">reeding </w:t>
            </w:r>
          </w:p>
        </w:tc>
        <w:tc>
          <w:tcPr>
            <w:tcW w:w="2977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Adam Whitehouse/Abi Johnson</w:t>
            </w:r>
          </w:p>
        </w:tc>
      </w:tr>
      <w:tr w:rsidR="003D3D90" w:rsidTr="003D3D90">
        <w:tc>
          <w:tcPr>
            <w:tcW w:w="1185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</w:p>
        </w:tc>
        <w:tc>
          <w:tcPr>
            <w:tcW w:w="5160" w:type="dxa"/>
          </w:tcPr>
          <w:p w:rsidR="003D3D90" w:rsidRDefault="00927F29" w:rsidP="00927F29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Water and n</w:t>
            </w:r>
            <w:r w:rsidR="003D3D90" w:rsidRPr="00A705F9">
              <w:rPr>
                <w:rFonts w:ascii="Arial" w:hAnsi="Arial" w:cs="Arial"/>
                <w:sz w:val="22"/>
              </w:rPr>
              <w:t>utrient</w:t>
            </w:r>
            <w:r w:rsidR="003D3D9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u</w:t>
            </w:r>
            <w:r w:rsidR="003D3D90">
              <w:rPr>
                <w:rFonts w:ascii="Arial" w:hAnsi="Arial" w:cs="Arial"/>
                <w:sz w:val="22"/>
              </w:rPr>
              <w:t xml:space="preserve">se </w:t>
            </w:r>
            <w:r>
              <w:rPr>
                <w:rFonts w:ascii="Arial" w:hAnsi="Arial" w:cs="Arial"/>
                <w:sz w:val="22"/>
              </w:rPr>
              <w:t>e</w:t>
            </w:r>
            <w:r w:rsidR="003D3D90">
              <w:rPr>
                <w:rFonts w:ascii="Arial" w:hAnsi="Arial" w:cs="Arial"/>
                <w:sz w:val="22"/>
              </w:rPr>
              <w:t>fficiency</w:t>
            </w:r>
          </w:p>
        </w:tc>
        <w:tc>
          <w:tcPr>
            <w:tcW w:w="2977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Dr Eleftheria Stavridou </w:t>
            </w:r>
          </w:p>
        </w:tc>
      </w:tr>
      <w:tr w:rsidR="003D3D90" w:rsidTr="003D3D90">
        <w:tc>
          <w:tcPr>
            <w:tcW w:w="1185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</w:p>
        </w:tc>
        <w:tc>
          <w:tcPr>
            <w:tcW w:w="5160" w:type="dxa"/>
          </w:tcPr>
          <w:p w:rsidR="003D3D90" w:rsidRPr="00A705F9" w:rsidRDefault="003D3D90" w:rsidP="003D3D90">
            <w:pPr>
              <w:spacing w:after="480"/>
              <w:ind w:left="34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Mycorrhizal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research</w:t>
            </w:r>
          </w:p>
        </w:tc>
        <w:tc>
          <w:tcPr>
            <w:tcW w:w="2977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 Louisa Robinson-Boyer</w:t>
            </w:r>
          </w:p>
        </w:tc>
      </w:tr>
      <w:tr w:rsidR="003D3D90" w:rsidTr="003D3D90">
        <w:tc>
          <w:tcPr>
            <w:tcW w:w="1185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12:50</w:t>
            </w:r>
          </w:p>
        </w:tc>
        <w:tc>
          <w:tcPr>
            <w:tcW w:w="5160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D3D90" w:rsidRDefault="003D3D90" w:rsidP="003D3D90">
            <w:pPr>
              <w:spacing w:after="480"/>
              <w:rPr>
                <w:rFonts w:ascii="Arial" w:hAnsi="Arial" w:cs="Arial"/>
                <w:sz w:val="22"/>
              </w:rPr>
            </w:pPr>
          </w:p>
        </w:tc>
      </w:tr>
    </w:tbl>
    <w:p w:rsidR="0069512B" w:rsidRDefault="0069512B">
      <w:pPr>
        <w:rPr>
          <w:rFonts w:ascii="Arial" w:hAnsi="Arial" w:cs="Arial"/>
          <w:sz w:val="22"/>
        </w:rPr>
      </w:pPr>
    </w:p>
    <w:p w:rsidR="00AE0D35" w:rsidRPr="003D3D90" w:rsidRDefault="00E23340">
      <w:pPr>
        <w:rPr>
          <w:rFonts w:ascii="Arial" w:hAnsi="Arial" w:cs="Arial"/>
          <w:sz w:val="20"/>
        </w:rPr>
      </w:pPr>
      <w:r w:rsidRPr="003D3D90">
        <w:rPr>
          <w:rFonts w:ascii="Arial" w:hAnsi="Arial" w:cs="Arial"/>
          <w:sz w:val="20"/>
        </w:rPr>
        <w:t>Assemble and depart from the Orchards Conference Centre (</w:t>
      </w:r>
      <w:hyperlink r:id="rId7" w:history="1">
        <w:r w:rsidRPr="003D3D90">
          <w:rPr>
            <w:rStyle w:val="Hyperlink"/>
            <w:rFonts w:ascii="Arial" w:hAnsi="Arial" w:cs="Arial"/>
            <w:sz w:val="20"/>
          </w:rPr>
          <w:t>www.theorchardseastmalling.co.uk</w:t>
        </w:r>
      </w:hyperlink>
      <w:r w:rsidRPr="003D3D90">
        <w:rPr>
          <w:rFonts w:ascii="Arial" w:hAnsi="Arial" w:cs="Arial"/>
          <w:sz w:val="20"/>
        </w:rPr>
        <w:t>) which is located on the East Malling Research site.</w:t>
      </w:r>
    </w:p>
    <w:p w:rsidR="003D3D90" w:rsidRPr="003D3D90" w:rsidRDefault="003D3D90">
      <w:pPr>
        <w:rPr>
          <w:rFonts w:ascii="Arial" w:hAnsi="Arial" w:cs="Arial"/>
          <w:sz w:val="20"/>
        </w:rPr>
      </w:pPr>
    </w:p>
    <w:p w:rsidR="00D43816" w:rsidRDefault="003D3D90">
      <w:pPr>
        <w:rPr>
          <w:rFonts w:ascii="Arial" w:hAnsi="Arial" w:cs="Arial"/>
          <w:sz w:val="20"/>
        </w:rPr>
      </w:pPr>
      <w:r w:rsidRPr="003D3D90">
        <w:rPr>
          <w:rFonts w:ascii="Arial" w:hAnsi="Arial" w:cs="Arial"/>
          <w:sz w:val="20"/>
        </w:rPr>
        <w:t>Please wear clothing appropriate for the weather on the day, as presentations will be delivered at different locations around the site.</w:t>
      </w:r>
    </w:p>
    <w:p w:rsidR="00D43816" w:rsidRDefault="00D438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D43816" w:rsidRDefault="00D438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Time scales and group leaders</w:t>
      </w:r>
    </w:p>
    <w:p w:rsidR="00D43816" w:rsidRDefault="00D43816">
      <w:pPr>
        <w:rPr>
          <w:rFonts w:ascii="Arial" w:hAnsi="Arial" w:cs="Arial"/>
          <w:sz w:val="20"/>
        </w:rPr>
      </w:pPr>
    </w:p>
    <w:p w:rsidR="00D43816" w:rsidRDefault="00D43816">
      <w:pPr>
        <w:rPr>
          <w:rFonts w:ascii="Arial" w:hAnsi="Arial" w:cs="Arial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43816" w:rsidRPr="00D43816" w:rsidTr="00D43816"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D43816" w:rsidRDefault="00D43816">
            <w:pPr>
              <w:jc w:val="center"/>
            </w:pPr>
            <w:r w:rsidRPr="00D43816">
              <w:rPr>
                <w:b/>
                <w:bCs/>
              </w:rPr>
              <w:t>Time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jc w:val="center"/>
              <w:rPr>
                <w:b/>
                <w:bCs/>
                <w:color w:val="FF0000"/>
              </w:rPr>
            </w:pPr>
            <w:r w:rsidRPr="00ED67C9">
              <w:rPr>
                <w:b/>
                <w:bCs/>
                <w:color w:val="FF0000"/>
              </w:rPr>
              <w:t>Group 1</w:t>
            </w:r>
          </w:p>
          <w:p w:rsidR="00D43816" w:rsidRPr="00ED67C9" w:rsidRDefault="00D43816" w:rsidP="00D43816">
            <w:pPr>
              <w:jc w:val="center"/>
              <w:rPr>
                <w:rFonts w:cs="Arial"/>
                <w:b/>
                <w:color w:val="FF0000"/>
              </w:rPr>
            </w:pPr>
            <w:r w:rsidRPr="00ED67C9">
              <w:rPr>
                <w:rFonts w:cs="Arial"/>
                <w:b/>
                <w:color w:val="FF0000"/>
              </w:rPr>
              <w:t>Ursula Twomey</w:t>
            </w:r>
          </w:p>
          <w:p w:rsidR="00D43816" w:rsidRPr="00ED67C9" w:rsidRDefault="00D43816">
            <w:pPr>
              <w:jc w:val="center"/>
              <w:rPr>
                <w:color w:val="FF0000"/>
              </w:rPr>
            </w:pP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 w:rsidP="00D43816">
            <w:pPr>
              <w:jc w:val="center"/>
              <w:rPr>
                <w:rFonts w:cs="Arial"/>
                <w:b/>
                <w:color w:val="00B0F0"/>
              </w:rPr>
            </w:pPr>
            <w:r w:rsidRPr="00ED67C9">
              <w:rPr>
                <w:b/>
                <w:bCs/>
                <w:color w:val="00B0F0"/>
              </w:rPr>
              <w:t>Group 2</w:t>
            </w:r>
          </w:p>
          <w:p w:rsidR="00D43816" w:rsidRPr="00ED67C9" w:rsidRDefault="00D43816" w:rsidP="00D43816">
            <w:pPr>
              <w:jc w:val="center"/>
              <w:rPr>
                <w:rFonts w:cs="Arial"/>
                <w:b/>
                <w:color w:val="00B0F0"/>
              </w:rPr>
            </w:pPr>
            <w:r w:rsidRPr="00ED67C9">
              <w:rPr>
                <w:rFonts w:cs="Arial"/>
                <w:b/>
                <w:color w:val="00B0F0"/>
              </w:rPr>
              <w:t>Penny Greeves</w:t>
            </w:r>
          </w:p>
          <w:p w:rsidR="00D43816" w:rsidRPr="00ED67C9" w:rsidRDefault="00D43816" w:rsidP="00D43816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 w:rsidP="00D43816">
            <w:pPr>
              <w:jc w:val="center"/>
              <w:rPr>
                <w:rFonts w:cs="Arial"/>
                <w:b/>
                <w:color w:val="00B050"/>
              </w:rPr>
            </w:pPr>
            <w:r w:rsidRPr="00ED67C9">
              <w:rPr>
                <w:b/>
                <w:bCs/>
                <w:color w:val="00B050"/>
              </w:rPr>
              <w:t>Group 3</w:t>
            </w:r>
          </w:p>
          <w:p w:rsidR="00D43816" w:rsidRPr="00ED67C9" w:rsidRDefault="00D43816" w:rsidP="00D43816">
            <w:pPr>
              <w:jc w:val="center"/>
              <w:rPr>
                <w:rFonts w:cs="Arial"/>
                <w:b/>
                <w:color w:val="00B050"/>
              </w:rPr>
            </w:pPr>
            <w:r w:rsidRPr="00ED67C9">
              <w:rPr>
                <w:rFonts w:cs="Arial"/>
                <w:b/>
                <w:color w:val="00B050"/>
              </w:rPr>
              <w:t xml:space="preserve">Helen </w:t>
            </w:r>
            <w:proofErr w:type="spellStart"/>
            <w:r w:rsidRPr="00ED67C9">
              <w:rPr>
                <w:rFonts w:cs="Arial"/>
                <w:b/>
                <w:color w:val="00B050"/>
              </w:rPr>
              <w:t>Longbottom</w:t>
            </w:r>
            <w:proofErr w:type="spellEnd"/>
          </w:p>
          <w:p w:rsidR="00D43816" w:rsidRPr="00ED67C9" w:rsidRDefault="00D43816" w:rsidP="00D43816">
            <w:pPr>
              <w:jc w:val="center"/>
              <w:rPr>
                <w:b/>
                <w:color w:val="00B050"/>
              </w:rPr>
            </w:pP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</w:rPr>
              <w:t>10:30-10:50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b/>
                <w:bCs/>
                <w:color w:val="FF0000"/>
              </w:rPr>
              <w:t>Introduction (RN)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b/>
                <w:bCs/>
                <w:color w:val="00B0F0"/>
              </w:rPr>
              <w:t>Introduction (RN)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b/>
                <w:bCs/>
                <w:color w:val="00B050"/>
              </w:rPr>
              <w:t>Introduction (RN)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iCs/>
              </w:rPr>
              <w:t>10:50-11:00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i/>
                <w:iCs/>
                <w:color w:val="FF0000"/>
              </w:rPr>
              <w:t>Walk to first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i/>
                <w:iCs/>
                <w:color w:val="00B0F0"/>
              </w:rPr>
              <w:t>Walk to first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i/>
                <w:iCs/>
                <w:color w:val="00B050"/>
              </w:rPr>
              <w:t>Walk to first stop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</w:rPr>
              <w:t>11:00-11:20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ED67C9">
              <w:rPr>
                <w:b/>
                <w:bCs/>
                <w:color w:val="FF0000"/>
              </w:rPr>
              <w:t>Mycorrhizae</w:t>
            </w:r>
            <w:proofErr w:type="spellEnd"/>
            <w:r w:rsidRPr="00ED67C9">
              <w:rPr>
                <w:b/>
                <w:bCs/>
                <w:color w:val="FF0000"/>
              </w:rPr>
              <w:t xml:space="preserve"> (LR-B)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proofErr w:type="spellStart"/>
            <w:r w:rsidRPr="00ED67C9">
              <w:rPr>
                <w:b/>
                <w:bCs/>
                <w:color w:val="00B0F0"/>
              </w:rPr>
              <w:t>Rhizolab</w:t>
            </w:r>
            <w:proofErr w:type="spellEnd"/>
            <w:r w:rsidRPr="00ED67C9">
              <w:rPr>
                <w:b/>
                <w:bCs/>
                <w:color w:val="00B0F0"/>
              </w:rPr>
              <w:t xml:space="preserve"> (NH)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b/>
                <w:bCs/>
                <w:color w:val="00B050"/>
              </w:rPr>
              <w:t>Pheromones (MF)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iCs/>
              </w:rPr>
              <w:t>11:20-11:25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i/>
                <w:iCs/>
                <w:color w:val="FF0000"/>
              </w:rPr>
              <w:t>Walk to next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i/>
                <w:iCs/>
                <w:color w:val="00B0F0"/>
              </w:rPr>
              <w:t>Walk to next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i/>
                <w:iCs/>
                <w:color w:val="00B050"/>
              </w:rPr>
              <w:t>Walk to next stop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</w:rPr>
              <w:t>11:25-11:45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ED67C9">
              <w:rPr>
                <w:b/>
                <w:bCs/>
                <w:color w:val="FF0000"/>
              </w:rPr>
              <w:t>Rhizolab</w:t>
            </w:r>
            <w:proofErr w:type="spellEnd"/>
            <w:r w:rsidRPr="00ED67C9">
              <w:rPr>
                <w:b/>
                <w:bCs/>
                <w:color w:val="FF0000"/>
              </w:rPr>
              <w:t xml:space="preserve"> (NH)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b/>
                <w:bCs/>
                <w:color w:val="00B0F0"/>
              </w:rPr>
              <w:t>Pheromones (MF)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b/>
                <w:bCs/>
                <w:color w:val="00B050"/>
              </w:rPr>
              <w:t>Strawberry breeding (AJ/AW)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iCs/>
              </w:rPr>
              <w:t>11:45-11:50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i/>
                <w:iCs/>
                <w:color w:val="FF0000"/>
              </w:rPr>
              <w:t>Walk to next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i/>
                <w:iCs/>
                <w:color w:val="00B0F0"/>
              </w:rPr>
              <w:t>Walk to next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i/>
                <w:iCs/>
                <w:color w:val="00B050"/>
              </w:rPr>
              <w:t>Walk to next stop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</w:rPr>
              <w:t>11:50-12:10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b/>
                <w:bCs/>
                <w:color w:val="FF0000"/>
              </w:rPr>
              <w:t>Pheromones (MF)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b/>
                <w:bCs/>
                <w:color w:val="00B0F0"/>
              </w:rPr>
              <w:t>Strawberry breeding (AJ/AW)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b/>
                <w:bCs/>
                <w:color w:val="00B050"/>
              </w:rPr>
              <w:t>Water use efficiency (ES)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iCs/>
              </w:rPr>
              <w:t>12:10-12:15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i/>
                <w:iCs/>
                <w:color w:val="FF0000"/>
              </w:rPr>
              <w:t>Walk to next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i/>
                <w:iCs/>
                <w:color w:val="00B0F0"/>
              </w:rPr>
              <w:t>Walk to next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i/>
                <w:iCs/>
                <w:color w:val="00B050"/>
              </w:rPr>
              <w:t>Walk to next stop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</w:rPr>
              <w:t>12:15-12:35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b/>
                <w:bCs/>
                <w:color w:val="FF0000"/>
              </w:rPr>
              <w:t>Strawberry breeding (AJ/AW)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b/>
                <w:bCs/>
                <w:color w:val="00B0F0"/>
              </w:rPr>
              <w:t>Water use efficiency (ES)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proofErr w:type="spellStart"/>
            <w:r w:rsidRPr="00ED67C9">
              <w:rPr>
                <w:b/>
                <w:bCs/>
                <w:color w:val="00B050"/>
              </w:rPr>
              <w:t>Mycorrhizae</w:t>
            </w:r>
            <w:proofErr w:type="spellEnd"/>
            <w:r w:rsidRPr="00ED67C9">
              <w:rPr>
                <w:b/>
                <w:bCs/>
                <w:color w:val="00B050"/>
              </w:rPr>
              <w:t xml:space="preserve"> (LR-B)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iCs/>
              </w:rPr>
              <w:t>12:35-12:40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i/>
                <w:iCs/>
                <w:color w:val="FF0000"/>
              </w:rPr>
              <w:t>Walk to next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i/>
                <w:iCs/>
                <w:color w:val="00B0F0"/>
              </w:rPr>
              <w:t>Walk to next stop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i/>
                <w:iCs/>
                <w:color w:val="00B050"/>
              </w:rPr>
              <w:t>Walk to next stop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</w:rPr>
              <w:t>12:40-13:00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b/>
                <w:bCs/>
                <w:color w:val="FF0000"/>
              </w:rPr>
              <w:t>Water use efficiency (ES)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proofErr w:type="spellStart"/>
            <w:r w:rsidRPr="00ED67C9">
              <w:rPr>
                <w:b/>
                <w:bCs/>
                <w:color w:val="00B0F0"/>
              </w:rPr>
              <w:t>Mycorrhizae</w:t>
            </w:r>
            <w:proofErr w:type="spellEnd"/>
            <w:r w:rsidRPr="00ED67C9">
              <w:rPr>
                <w:b/>
                <w:bCs/>
                <w:color w:val="00B0F0"/>
              </w:rPr>
              <w:t xml:space="preserve"> (LR-B)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proofErr w:type="spellStart"/>
            <w:r w:rsidRPr="00ED67C9">
              <w:rPr>
                <w:b/>
                <w:bCs/>
                <w:color w:val="00B050"/>
              </w:rPr>
              <w:t>Rhizolab</w:t>
            </w:r>
            <w:proofErr w:type="spellEnd"/>
            <w:r w:rsidRPr="00ED67C9">
              <w:rPr>
                <w:b/>
                <w:bCs/>
                <w:color w:val="00B050"/>
              </w:rPr>
              <w:t xml:space="preserve"> (NH)</w:t>
            </w:r>
          </w:p>
        </w:tc>
      </w:tr>
      <w:tr w:rsidR="00D43816" w:rsidTr="00D43816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Default="00D43816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iCs/>
              </w:rPr>
              <w:t>13:00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ED67C9">
              <w:rPr>
                <w:i/>
                <w:iCs/>
                <w:color w:val="FF0000"/>
              </w:rPr>
              <w:t>Depart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F0"/>
                <w:sz w:val="22"/>
                <w:szCs w:val="22"/>
              </w:rPr>
            </w:pPr>
            <w:r w:rsidRPr="00ED67C9">
              <w:rPr>
                <w:i/>
                <w:iCs/>
                <w:color w:val="00B0F0"/>
              </w:rPr>
              <w:t>Depart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16" w:rsidRPr="00ED67C9" w:rsidRDefault="00D43816">
            <w:pPr>
              <w:spacing w:line="480" w:lineRule="auto"/>
              <w:rPr>
                <w:rFonts w:ascii="Calibri" w:hAnsi="Calibri"/>
                <w:color w:val="00B050"/>
                <w:sz w:val="22"/>
                <w:szCs w:val="22"/>
              </w:rPr>
            </w:pPr>
            <w:r w:rsidRPr="00ED67C9">
              <w:rPr>
                <w:i/>
                <w:iCs/>
                <w:color w:val="00B050"/>
              </w:rPr>
              <w:t>Depart</w:t>
            </w:r>
          </w:p>
        </w:tc>
      </w:tr>
    </w:tbl>
    <w:p w:rsidR="00D43816" w:rsidRPr="003D3D90" w:rsidRDefault="00D43816">
      <w:pPr>
        <w:rPr>
          <w:rFonts w:ascii="Arial" w:hAnsi="Arial" w:cs="Arial"/>
          <w:sz w:val="20"/>
        </w:rPr>
      </w:pPr>
    </w:p>
    <w:sectPr w:rsidR="00D43816" w:rsidRPr="003D3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42EE1"/>
    <w:multiLevelType w:val="hybridMultilevel"/>
    <w:tmpl w:val="3634BEE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2B"/>
    <w:rsid w:val="00121561"/>
    <w:rsid w:val="002B50F3"/>
    <w:rsid w:val="003D3D90"/>
    <w:rsid w:val="00425D53"/>
    <w:rsid w:val="004741E0"/>
    <w:rsid w:val="00516401"/>
    <w:rsid w:val="0069512B"/>
    <w:rsid w:val="0071285B"/>
    <w:rsid w:val="008138B0"/>
    <w:rsid w:val="00927F29"/>
    <w:rsid w:val="00961320"/>
    <w:rsid w:val="00A705F9"/>
    <w:rsid w:val="00AD0BD2"/>
    <w:rsid w:val="00AE0D35"/>
    <w:rsid w:val="00BD1A3D"/>
    <w:rsid w:val="00D075CA"/>
    <w:rsid w:val="00D36A3B"/>
    <w:rsid w:val="00D43816"/>
    <w:rsid w:val="00E23340"/>
    <w:rsid w:val="00ED67C9"/>
    <w:rsid w:val="00F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8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8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8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8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8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8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85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85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8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8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8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8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85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85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85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85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85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85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128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28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8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1285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1285B"/>
    <w:rPr>
      <w:b/>
      <w:bCs/>
    </w:rPr>
  </w:style>
  <w:style w:type="character" w:styleId="Emphasis">
    <w:name w:val="Emphasis"/>
    <w:basedOn w:val="DefaultParagraphFont"/>
    <w:uiPriority w:val="20"/>
    <w:qFormat/>
    <w:rsid w:val="0071285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285B"/>
    <w:rPr>
      <w:szCs w:val="32"/>
    </w:rPr>
  </w:style>
  <w:style w:type="paragraph" w:styleId="ListParagraph">
    <w:name w:val="List Paragraph"/>
    <w:basedOn w:val="Normal"/>
    <w:uiPriority w:val="34"/>
    <w:qFormat/>
    <w:rsid w:val="007128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285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285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85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85B"/>
    <w:rPr>
      <w:b/>
      <w:i/>
      <w:sz w:val="24"/>
    </w:rPr>
  </w:style>
  <w:style w:type="character" w:styleId="SubtleEmphasis">
    <w:name w:val="Subtle Emphasis"/>
    <w:uiPriority w:val="19"/>
    <w:qFormat/>
    <w:rsid w:val="0071285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285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285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285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285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85B"/>
    <w:pPr>
      <w:outlineLvl w:val="9"/>
    </w:pPr>
  </w:style>
  <w:style w:type="table" w:styleId="TableGrid">
    <w:name w:val="Table Grid"/>
    <w:basedOn w:val="TableNormal"/>
    <w:uiPriority w:val="59"/>
    <w:rsid w:val="0069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3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8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8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8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8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8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8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85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85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8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8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8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8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85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85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85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85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85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85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128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28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8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1285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1285B"/>
    <w:rPr>
      <w:b/>
      <w:bCs/>
    </w:rPr>
  </w:style>
  <w:style w:type="character" w:styleId="Emphasis">
    <w:name w:val="Emphasis"/>
    <w:basedOn w:val="DefaultParagraphFont"/>
    <w:uiPriority w:val="20"/>
    <w:qFormat/>
    <w:rsid w:val="0071285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285B"/>
    <w:rPr>
      <w:szCs w:val="32"/>
    </w:rPr>
  </w:style>
  <w:style w:type="paragraph" w:styleId="ListParagraph">
    <w:name w:val="List Paragraph"/>
    <w:basedOn w:val="Normal"/>
    <w:uiPriority w:val="34"/>
    <w:qFormat/>
    <w:rsid w:val="007128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285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285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85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85B"/>
    <w:rPr>
      <w:b/>
      <w:i/>
      <w:sz w:val="24"/>
    </w:rPr>
  </w:style>
  <w:style w:type="character" w:styleId="SubtleEmphasis">
    <w:name w:val="Subtle Emphasis"/>
    <w:uiPriority w:val="19"/>
    <w:qFormat/>
    <w:rsid w:val="0071285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285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285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285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285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85B"/>
    <w:pPr>
      <w:outlineLvl w:val="9"/>
    </w:pPr>
  </w:style>
  <w:style w:type="table" w:styleId="TableGrid">
    <w:name w:val="Table Grid"/>
    <w:basedOn w:val="TableNormal"/>
    <w:uiPriority w:val="59"/>
    <w:rsid w:val="0069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3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orchardseastmall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122B1FFA</Template>
  <TotalTime>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Twomey (EMR)</dc:creator>
  <cp:lastModifiedBy>Campbell-Smith, Allison - EE CO</cp:lastModifiedBy>
  <cp:revision>4</cp:revision>
  <dcterms:created xsi:type="dcterms:W3CDTF">2015-02-25T10:30:00Z</dcterms:created>
  <dcterms:modified xsi:type="dcterms:W3CDTF">2015-04-21T08:33:00Z</dcterms:modified>
</cp:coreProperties>
</file>